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283" w:hanging="284.99999999999994"/>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36"/>
          <w:szCs w:val="36"/>
        </w:rPr>
      </w:pPr>
      <w:r w:rsidDel="00000000" w:rsidR="00000000" w:rsidRPr="00000000">
        <w:rPr>
          <w:rFonts w:ascii="Arial" w:cs="Arial" w:eastAsia="Arial" w:hAnsi="Arial"/>
          <w:color w:val="000000"/>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color w:val="000000"/>
          <w:sz w:val="36"/>
          <w:szCs w:val="36"/>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w:t>
            </w:r>
            <w:r w:rsidDel="00000000" w:rsidR="00000000" w:rsidRPr="00000000">
              <w:rPr>
                <w:rFonts w:ascii="Arial" w:cs="Arial" w:eastAsia="Arial" w:hAnsi="Arial"/>
                <w:color w:val="000000"/>
                <w:sz w:val="24"/>
                <w:szCs w:val="24"/>
                <w:highlight w:val="yellow"/>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bookmarkStart w:colFirst="0" w:colLast="0" w:name="_heading=h.3dy6vkm" w:id="0"/>
            <w:bookmarkEnd w:id="0"/>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this Schedule shall survive: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1004"/>
        <w:jc w:val="left"/>
        <w:rPr>
          <w:rFonts w:ascii="Arial Bold" w:cs="Arial Bold" w:eastAsia="Arial Bold" w:hAnsi="Arial Bold"/>
          <w:color w:val="000000"/>
          <w:sz w:val="24"/>
          <w:szCs w:val="24"/>
        </w:rPr>
      </w:pPr>
      <w:r w:rsidDel="00000000" w:rsidR="00000000" w:rsidRPr="00000000">
        <w:rPr>
          <w:rtl w:val="0"/>
        </w:rPr>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of Financial Distress Events</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Indicators</w:t>
      </w:r>
    </w:p>
    <w:p w:rsidR="00000000" w:rsidDel="00000000" w:rsidP="00000000" w:rsidRDefault="00000000" w:rsidRPr="00000000" w14:paraId="00000061">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p>
        </w:tc>
        <w:tc>
          <w:tcPr>
            <w:shd w:fill="d9d9d9"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heading=h.1ci93xb" w:id="1"/>
            <w:bookmarkEnd w:id="1"/>
            <w:r w:rsidDel="00000000" w:rsidR="00000000" w:rsidRPr="00000000">
              <w:rPr>
                <w:rFonts w:ascii="Arial" w:cs="Arial" w:eastAsia="Arial" w:hAnsi="Arial"/>
                <w:b w:val="1"/>
                <w:color w:val="000000"/>
                <w:sz w:val="24"/>
                <w:szCs w:val="24"/>
                <w:rtl w:val="0"/>
              </w:rPr>
              <w:t xml:space="preserve">Monitoring and Reporting Frequency </w:t>
            </w:r>
          </w:p>
        </w:tc>
      </w:tr>
      <w:tr>
        <w:trPr>
          <w:cantSplit w:val="0"/>
          <w:tblHeader w:val="0"/>
        </w:trPr>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Turnover ratio</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[Turnover Ratio = Total Income/Annual Contract Value]</w:t>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[1.5]] times</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[Operating Margin = Operating Profit / Revenue]</w:t>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[1.5%]]</w:t>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 [Net Debt to EBITDA ratio = Net Debt / EBITDA]</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 [&lt; [3.5]] times</w:t>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7030a0"/>
                <w:sz w:val="24"/>
                <w:szCs w:val="24"/>
                <w:rtl w:val="0"/>
              </w:rPr>
              <w:t xml:space="preserve">[</w:t>
            </w:r>
            <w:r w:rsidDel="00000000" w:rsidR="00000000" w:rsidRPr="00000000">
              <w:rPr>
                <w:rFonts w:ascii="Arial" w:cs="Arial" w:eastAsia="Arial" w:hAnsi="Arial"/>
                <w:i w:val="1"/>
                <w:color w:val="000000"/>
                <w:sz w:val="24"/>
                <w:szCs w:val="24"/>
                <w:rtl w:val="0"/>
              </w:rPr>
              <w:t xml:space="preserve">90] days of each [accounting reference date</w:t>
            </w:r>
            <w:r w:rsidDel="00000000" w:rsidR="00000000" w:rsidRPr="00000000">
              <w:rPr>
                <w:rFonts w:ascii="Arial" w:cs="Arial" w:eastAsia="Arial" w:hAnsi="Arial"/>
                <w:i w:val="1"/>
                <w:color w:val="7030a0"/>
                <w:sz w:val="24"/>
                <w:szCs w:val="24"/>
                <w:rtl w:val="0"/>
              </w:rPr>
              <w:t xml:space="preserve">]</w:t>
            </w:r>
            <w:r w:rsidDel="00000000" w:rsidR="00000000" w:rsidRPr="00000000">
              <w:rPr>
                <w:rFonts w:ascii="Arial" w:cs="Arial" w:eastAsia="Arial" w:hAnsi="Arial"/>
                <w:i w:val="1"/>
                <w:color w:val="000000"/>
                <w:sz w:val="24"/>
                <w:szCs w:val="24"/>
                <w:rtl w:val="0"/>
              </w:rPr>
              <w:t xml:space="preserve"> based upon </w:t>
            </w:r>
            <w:r w:rsidDel="00000000" w:rsidR="00000000" w:rsidRPr="00000000">
              <w:rPr>
                <w:rFonts w:ascii="Arial" w:cs="Arial" w:eastAsia="Arial" w:hAnsi="Arial"/>
                <w:i w:val="1"/>
                <w:color w:val="7030a0"/>
                <w:sz w:val="24"/>
                <w:szCs w:val="24"/>
                <w:rtl w:val="0"/>
              </w:rPr>
              <w:t xml:space="preserve">[</w:t>
            </w:r>
            <w:r w:rsidDel="00000000" w:rsidR="00000000" w:rsidRPr="00000000">
              <w:rPr>
                <w:rFonts w:ascii="Arial" w:cs="Arial" w:eastAsia="Arial" w:hAnsi="Arial"/>
                <w:i w:val="1"/>
                <w:color w:val="000000"/>
                <w:sz w:val="24"/>
                <w:szCs w:val="24"/>
                <w:rtl w:val="0"/>
              </w:rPr>
              <w:t xml:space="preserve">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 Net Pension Deficit to EBITDA Ratio = (Net Debt + Net Pension Deficit) / EBITDA]</w:t>
            </w:r>
          </w:p>
        </w:tc>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[5]] times</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[3]] times</w:t>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[Acid Ratio = (Current Assets – Inventories) / Current Liabilities]</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[1]] times</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Asset Value = Net Assets]</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£0]</w:t>
            </w:r>
          </w:p>
        </w:tc>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whwml4" w:id="2"/>
            <w:bookmarkEnd w:id="2"/>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r>
    </w:tbl>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9D">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9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color w:val="000000"/>
          <w:sz w:val="24"/>
          <w:szCs w:val="24"/>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AF">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&amp; Bradstreet]</w:t>
      </w:r>
    </w:p>
    <w:p w:rsidR="00000000" w:rsidDel="00000000" w:rsidP="00000000" w:rsidRDefault="00000000" w:rsidRPr="00000000" w14:paraId="000000B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heading=h.2bn6wsx" w:id="3"/>
      <w:bookmarkEnd w:id="3"/>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[40]</w:t>
            </w:r>
          </w:p>
        </w:tc>
      </w:tr>
      <w:tr>
        <w:trPr>
          <w:cantSplit w:val="0"/>
          <w:tblHeader w:val="0"/>
        </w:trPr>
        <w:tc>
          <w:tcPr>
            <w:shd w:fill="ffffff" w:val="clear"/>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[Guarantor]</w:t>
            </w:r>
          </w:p>
        </w:tc>
        <w:tc>
          <w:tcPr>
            <w:shd w:fill="ffffff" w:val="clear"/>
          </w:tcPr>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[40]</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[40]</w:t>
            </w:r>
          </w:p>
        </w:tc>
      </w:tr>
    </w:tbl>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heading=h.qsh70q" w:id="4"/>
      <w:bookmarkEnd w:id="4"/>
      <w:r w:rsidDel="00000000" w:rsidR="00000000" w:rsidRPr="00000000">
        <w:rPr>
          <w:rFonts w:ascii="Arial" w:cs="Arial" w:eastAsia="Arial" w:hAnsi="Arial"/>
          <w:b w:val="1"/>
          <w:i w:val="1"/>
          <w:color w:val="000000"/>
          <w:sz w:val="24"/>
          <w:szCs w:val="24"/>
          <w:highlight w:val="yellow"/>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C1">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2">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3as4poj" w:id="5"/>
      <w:bookmarkEnd w:id="5"/>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3">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4">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Turnover Ratio</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Revenue should be shown on the face of the Income Statement in a standard set of financial statements. It should exclude the entity’s share of the revenue of joint ventures or associates.</w:t>
            </w:r>
          </w:p>
        </w:tc>
      </w:tr>
      <w:tr>
        <w:trPr>
          <w:cantSplit w:val="0"/>
          <w:tblHeader w:val="0"/>
        </w:trPr>
        <w:tc>
          <w:tcPr>
            <w:vAlign w:val="center"/>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1pxezwc" w:id="6"/>
            <w:bookmarkEnd w:id="6"/>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49x2ik5" w:id="7"/>
            <w:bookmarkEnd w:id="7"/>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rHeight w:val="99" w:hRule="atLeast"/>
          <w:tblHeader w:val="0"/>
        </w:trPr>
        <w:tc>
          <w:tcPr>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9">
      <w:pPr>
        <w:spacing w:after="200" w:line="276" w:lineRule="auto"/>
        <w:jc w:val="left"/>
        <w:rPr>
          <w:rFonts w:ascii="Arial" w:cs="Arial" w:eastAsia="Arial" w:hAnsi="Arial"/>
          <w:sz w:val="24"/>
          <w:szCs w:val="24"/>
        </w:rPr>
      </w:pPr>
      <w:bookmarkStart w:colFirst="0" w:colLast="0" w:name="_heading=h.gjdgxs" w:id="8"/>
      <w:bookmarkEnd w:id="8"/>
      <w:r w:rsidDel="00000000" w:rsidR="00000000" w:rsidRPr="00000000">
        <w:br w:type="page"/>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2p2csry" w:id="9"/>
      <w:bookmarkEnd w:id="9"/>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147n2zr" w:id="10"/>
      <w:bookmarkEnd w:id="10"/>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11">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12">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1D">
      <w:pPr>
        <w:spacing w:after="200" w:line="276" w:lineRule="auto"/>
        <w:jc w:val="left"/>
        <w:rPr>
          <w:rFonts w:ascii="Arial" w:cs="Arial" w:eastAsia="Arial" w:hAnsi="Arial"/>
          <w:sz w:val="24"/>
          <w:szCs w:val="24"/>
        </w:rPr>
      </w:pPr>
      <w:bookmarkStart w:colFirst="0" w:colLast="0" w:name="_heading=h.4i7ojhp" w:id="11"/>
      <w:bookmarkEnd w:id="1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5">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3"/>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tabs>
        <w:tab w:val="num" w:pos="720"/>
      </w:tabs>
      <w:overflowPunct w:val="1"/>
      <w:autoSpaceDE w:val="1"/>
      <w:autoSpaceDN w:val="1"/>
      <w:adjustRightInd w:val="1"/>
      <w:spacing w:after="200" w:before="100"/>
      <w:ind w:left="720" w:hanging="72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tabs>
        <w:tab w:val="num" w:pos="720"/>
      </w:tabs>
      <w:ind w:left="720" w:hanging="720"/>
    </w:pPr>
    <w:rPr>
      <w:b w:val="0"/>
    </w:rPr>
  </w:style>
  <w:style w:type="paragraph" w:styleId="AppendixText3" w:customStyle="1">
    <w:name w:val="Appendix Text 3"/>
    <w:basedOn w:val="Normal"/>
    <w:next w:val="Normal"/>
    <w:rsid w:val="006B02AC"/>
    <w:pPr>
      <w:numPr>
        <w:ilvl w:val="2"/>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4"/>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paragraph" w:styleId="NormalWeb">
    <w:name w:val="Normal (Web)"/>
    <w:basedOn w:val="Normal"/>
    <w:uiPriority w:val="99"/>
    <w:unhideWhenUsed w:val="1"/>
    <w:rsid w:val="008C3928"/>
    <w:pPr>
      <w:overflowPunct w:val="1"/>
      <w:autoSpaceDE w:val="1"/>
      <w:autoSpaceDN w:val="1"/>
      <w:adjustRightInd w:val="1"/>
      <w:spacing w:after="100" w:afterAutospacing="1" w:before="100" w:beforeAutospacing="1"/>
      <w:jc w:val="left"/>
      <w:textAlignment w:val="auto"/>
    </w:pPr>
    <w:rPr>
      <w:rFonts w:ascii="Times New Roman" w:cs="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jnSkZbjKnxU9jAA0juXRD9XaXA==">CgMxLjAyCWguM2R5NnZrbTIJaC4xY2k5M3hiMgloLjN3aHdtbDQyCWguMmJuNndzeDIIaC5xc2g3MHEyCWguM2FzNHBvajIJaC4xcHhlendjMgloLjQ5eDJpazUyCGguZ2pkZ3hzMgloLjJwMmNzcnkyCWguMTQ3bjJ6cjIJaC40aTdvamhwOAByITFLTTMwVXpDQWFvaXB3UzVaWndzOHdPM0ZHb0xYX2lsTA==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2023-09-20T10:22:00Z</dcterms:created>
  <dc:creator>Phil Davies-Peerless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